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 xml:space="preserve">October 2010. In April 2011 the </w:t>
      </w:r>
      <w:proofErr w:type="gramStart"/>
      <w:r w:rsidRPr="00810302">
        <w:rPr>
          <w:sz w:val="24"/>
          <w:szCs w:val="24"/>
        </w:rPr>
        <w:t>general public</w:t>
      </w:r>
      <w:proofErr w:type="gramEnd"/>
      <w:r w:rsidRPr="00810302">
        <w:rPr>
          <w:sz w:val="24"/>
          <w:szCs w:val="24"/>
        </w:rPr>
        <w:t xml:space="preserve">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proofErr w:type="gramStart"/>
      <w:r w:rsidRPr="00810302">
        <w:rPr>
          <w:sz w:val="24"/>
          <w:szCs w:val="24"/>
        </w:rPr>
        <w:t>orientation</w:t>
      </w:r>
      <w:proofErr w:type="gramEnd"/>
      <w:r w:rsidRPr="00810302">
        <w:rPr>
          <w:sz w:val="24"/>
          <w:szCs w:val="24"/>
        </w:rPr>
        <w:t xml:space="preserve">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19C90103" w:rsidR="00810302" w:rsidRPr="00810302" w:rsidRDefault="005665E5" w:rsidP="26836D7B">
      <w:pPr>
        <w:spacing w:after="0"/>
        <w:rPr>
          <w:b/>
          <w:bCs/>
          <w:sz w:val="24"/>
          <w:szCs w:val="24"/>
          <w:u w:val="single"/>
        </w:rPr>
      </w:pPr>
      <w:r w:rsidRPr="26836D7B">
        <w:rPr>
          <w:b/>
          <w:bCs/>
          <w:sz w:val="24"/>
          <w:szCs w:val="24"/>
          <w:u w:val="single"/>
        </w:rPr>
        <w:t xml:space="preserve">EQUALITY IN </w:t>
      </w:r>
      <w:r w:rsidR="007D2B29">
        <w:rPr>
          <w:b/>
          <w:bCs/>
          <w:sz w:val="24"/>
          <w:szCs w:val="24"/>
          <w:u w:val="single"/>
        </w:rPr>
        <w:t>ENGLISH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 xml:space="preserve">● Ensure that the whole curriculum covers issues of equality and </w:t>
      </w:r>
      <w:proofErr w:type="gramStart"/>
      <w:r w:rsidRPr="00810302">
        <w:rPr>
          <w:sz w:val="24"/>
          <w:szCs w:val="24"/>
        </w:rPr>
        <w:t>diversity;</w:t>
      </w:r>
      <w:proofErr w:type="gramEnd"/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ethnicity, disability, religion or belief, sexual orientation, </w:t>
      </w:r>
      <w:proofErr w:type="gramStart"/>
      <w:r w:rsidRPr="00810302">
        <w:rPr>
          <w:sz w:val="24"/>
          <w:szCs w:val="24"/>
        </w:rPr>
        <w:t>age</w:t>
      </w:r>
      <w:proofErr w:type="gramEnd"/>
      <w:r w:rsidRPr="00810302">
        <w:rPr>
          <w:sz w:val="24"/>
          <w:szCs w:val="24"/>
        </w:rPr>
        <w:t xml:space="preserve">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</w:t>
      </w:r>
      <w:proofErr w:type="gramStart"/>
      <w:r w:rsidRPr="005665E5">
        <w:rPr>
          <w:sz w:val="24"/>
          <w:szCs w:val="24"/>
        </w:rPr>
        <w:t xml:space="preserve">taking </w:t>
      </w:r>
      <w:r>
        <w:rPr>
          <w:sz w:val="24"/>
          <w:szCs w:val="24"/>
        </w:rPr>
        <w:t>into account</w:t>
      </w:r>
      <w:proofErr w:type="gramEnd"/>
      <w:r>
        <w:rPr>
          <w:sz w:val="24"/>
          <w:szCs w:val="24"/>
        </w:rPr>
        <w:t xml:space="preserve">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● Reflect the reality of an ethnically, </w:t>
      </w:r>
      <w:proofErr w:type="gramStart"/>
      <w:r w:rsidRPr="005665E5">
        <w:rPr>
          <w:sz w:val="24"/>
          <w:szCs w:val="24"/>
        </w:rPr>
        <w:t>culturally</w:t>
      </w:r>
      <w:proofErr w:type="gramEnd"/>
      <w:r w:rsidRPr="005665E5">
        <w:rPr>
          <w:sz w:val="24"/>
          <w:szCs w:val="24"/>
        </w:rPr>
        <w:t xml:space="preserve">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27AF88F4" w:rsidR="005665E5" w:rsidRPr="005665E5" w:rsidRDefault="005665E5" w:rsidP="005665E5">
      <w:pPr>
        <w:spacing w:after="0"/>
        <w:rPr>
          <w:sz w:val="24"/>
          <w:szCs w:val="24"/>
        </w:rPr>
      </w:pPr>
      <w:r w:rsidRPr="26836D7B">
        <w:rPr>
          <w:sz w:val="24"/>
          <w:szCs w:val="24"/>
        </w:rPr>
        <w:t>We recognise that it is important at Sutton Manor Primary School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● Creates and enhances positive images of </w:t>
      </w:r>
      <w:proofErr w:type="gramStart"/>
      <w:r w:rsidRPr="005665E5">
        <w:rPr>
          <w:sz w:val="24"/>
          <w:szCs w:val="24"/>
        </w:rPr>
        <w:t>particular groups</w:t>
      </w:r>
      <w:proofErr w:type="gramEnd"/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● Uses accurate language in referring to </w:t>
      </w:r>
      <w:proofErr w:type="gramStart"/>
      <w:r w:rsidRPr="005665E5">
        <w:rPr>
          <w:sz w:val="24"/>
          <w:szCs w:val="24"/>
        </w:rPr>
        <w:t>particular groups</w:t>
      </w:r>
      <w:proofErr w:type="gramEnd"/>
      <w:r w:rsidRPr="005665E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7D2B29"/>
    <w:rsid w:val="00810302"/>
    <w:rsid w:val="00881D52"/>
    <w:rsid w:val="00E27DFA"/>
    <w:rsid w:val="26836D7B"/>
    <w:rsid w:val="3594937B"/>
    <w:rsid w:val="4502A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4d751a4-b9aa-46e0-8bb6-ebf585c2575d" xsi:nil="true"/>
    <AppVersion xmlns="14d751a4-b9aa-46e0-8bb6-ebf585c2575d" xsi:nil="true"/>
    <DefaultSectionNames xmlns="14d751a4-b9aa-46e0-8bb6-ebf585c2575d" xsi:nil="true"/>
    <Is_Collaboration_Space_Locked xmlns="14d751a4-b9aa-46e0-8bb6-ebf585c2575d" xsi:nil="true"/>
    <Self_Registration_Enabled xmlns="14d751a4-b9aa-46e0-8bb6-ebf585c2575d" xsi:nil="true"/>
    <FolderType xmlns="14d751a4-b9aa-46e0-8bb6-ebf585c2575d" xsi:nil="true"/>
    <Students xmlns="14d751a4-b9aa-46e0-8bb6-ebf585c2575d">
      <UserInfo>
        <DisplayName/>
        <AccountId xsi:nil="true"/>
        <AccountType/>
      </UserInfo>
    </Students>
    <Student_Groups xmlns="14d751a4-b9aa-46e0-8bb6-ebf585c2575d">
      <UserInfo>
        <DisplayName/>
        <AccountId xsi:nil="true"/>
        <AccountType/>
      </UserInfo>
    </Student_Groups>
    <Invited_Students xmlns="14d751a4-b9aa-46e0-8bb6-ebf585c2575d" xsi:nil="true"/>
    <IsNotebookLocked xmlns="14d751a4-b9aa-46e0-8bb6-ebf585c2575d" xsi:nil="true"/>
    <Has_Teacher_Only_SectionGroup xmlns="14d751a4-b9aa-46e0-8bb6-ebf585c2575d" xsi:nil="true"/>
    <Owner xmlns="14d751a4-b9aa-46e0-8bb6-ebf585c2575d">
      <UserInfo>
        <DisplayName/>
        <AccountId xsi:nil="true"/>
        <AccountType/>
      </UserInfo>
    </Owner>
    <Teachers xmlns="14d751a4-b9aa-46e0-8bb6-ebf585c2575d">
      <UserInfo>
        <DisplayName/>
        <AccountId xsi:nil="true"/>
        <AccountType/>
      </UserInfo>
    </Teachers>
    <Invited_Teachers xmlns="14d751a4-b9aa-46e0-8bb6-ebf585c2575d" xsi:nil="true"/>
    <NotebookType xmlns="14d751a4-b9aa-46e0-8bb6-ebf585c2575d" xsi:nil="true"/>
    <CultureName xmlns="14d751a4-b9aa-46e0-8bb6-ebf585c2575d" xsi:nil="true"/>
    <TeamsChannelId xmlns="14d751a4-b9aa-46e0-8bb6-ebf585c257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B91C1B79F847A982C9601E2AB60C" ma:contentTypeVersion="30" ma:contentTypeDescription="Create a new document." ma:contentTypeScope="" ma:versionID="4f5552c8c84200424448dec7a204a8a4">
  <xsd:schema xmlns:xsd="http://www.w3.org/2001/XMLSchema" xmlns:xs="http://www.w3.org/2001/XMLSchema" xmlns:p="http://schemas.microsoft.com/office/2006/metadata/properties" xmlns:ns3="14d751a4-b9aa-46e0-8bb6-ebf585c2575d" xmlns:ns4="784fb2dc-9d97-4efc-91c1-9cf326ee266e" targetNamespace="http://schemas.microsoft.com/office/2006/metadata/properties" ma:root="true" ma:fieldsID="9379b8882bcda9058dddbc7f067c1162" ns3:_="" ns4:_="">
    <xsd:import namespace="14d751a4-b9aa-46e0-8bb6-ebf585c2575d"/>
    <xsd:import namespace="784fb2dc-9d97-4efc-91c1-9cf326ee2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51a4-b9aa-46e0-8bb6-ebf585c25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b2dc-9d97-4efc-91c1-9cf326ee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  <ds:schemaRef ds:uri="14d751a4-b9aa-46e0-8bb6-ebf585c2575d"/>
  </ds:schemaRefs>
</ds:datastoreItem>
</file>

<file path=customXml/itemProps2.xml><?xml version="1.0" encoding="utf-8"?>
<ds:datastoreItem xmlns:ds="http://schemas.openxmlformats.org/officeDocument/2006/customXml" ds:itemID="{96FE3FC0-6F73-474E-88CD-C42EC080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751a4-b9aa-46e0-8bb6-ebf585c2575d"/>
    <ds:schemaRef ds:uri="784fb2dc-9d97-4efc-91c1-9cf326ee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Helen Carlyle</cp:lastModifiedBy>
  <cp:revision>2</cp:revision>
  <dcterms:created xsi:type="dcterms:W3CDTF">2022-02-24T23:46:00Z</dcterms:created>
  <dcterms:modified xsi:type="dcterms:W3CDTF">2022-02-24T23:46:00Z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0x010100002EB91C1B79F847A982C9601E2AB60C</vt:lpwstr>
  </property>
</Properties>
</file>